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BALASKA PIROSKA</w:t>
            </w:r>
          </w:p>
          <w:p w:rsidR="00C275A3" w:rsidRDefault="00A96AEC" w:rsidP="00C275A3">
            <w:pPr>
              <w:pStyle w:val="Hallgatokepzes"/>
            </w:pPr>
            <w:r>
              <w:t>Földrajz</w:t>
            </w:r>
            <w:r>
              <w:br/>
            </w:r>
            <w:r w:rsidR="00E77B23">
              <w:t>BSc, 5.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Eszterházy Károly Főiskola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Dávid Árpád</w:t>
            </w:r>
          </w:p>
          <w:p w:rsidR="00DB4822" w:rsidRDefault="00DB4822" w:rsidP="00E11062">
            <w:pPr>
              <w:pStyle w:val="Konzulensek"/>
            </w:pPr>
            <w:r w:rsidRPr="00DB4822">
              <w:t>főiskolai docens, EKF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Késő Oligocén (Egri) korú ősmaradványok tafonómiája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szerző volt Wind-féle téglagyár agyagbányájának molluszkás agyag rétegét tanulmányozta. A képződmény három szintjéből gyűjtött, egyenként 50-50 kg minta iszapolási maradékából származó ősmaradványok tafonómiai célú vizsgálatát végezte el.</w:t>
      </w:r>
      <w:r>
        <w:rPr>
          <w:color w:val="000000"/>
          <w:sz w:val="24"/>
          <w:szCs w:val="24"/>
        </w:rPr>
        <w:br/>
        <w:t xml:space="preserve">A kiválogatott és meghatározott fosszíliák száma 52 543. Ezek 270 taxonba tartoznak.</w:t>
      </w:r>
      <w:r>
        <w:rPr>
          <w:color w:val="000000"/>
          <w:sz w:val="24"/>
          <w:szCs w:val="24"/>
        </w:rPr>
        <w:br/>
        <w:t xml:space="preserve">Az anyagban az állati maradványok domináltak. A növényi fosszíliák az egésznek az 1,41%-át alkotják, 746 példánnyal és kettő taxonnal. Az állati ősmaradványokat tekintve a gerinctelenek összesen 48 942 példányt tesznek ki és 217 taxonba sorolhatók. Míg a gerincesek 2855 példánya 51 taxonba sorolható. Az egyes szintből 234 taxon 30 164 példánya, a kettes szintből 149 taxon, 18 286 példánya, míg a hármas szintből 27 taxon és 4093 példánya került elő.</w:t>
      </w:r>
      <w:r>
        <w:rPr>
          <w:color w:val="000000"/>
          <w:sz w:val="24"/>
          <w:szCs w:val="24"/>
        </w:rPr>
        <w:br/>
        <w:t xml:space="preserve">A szerző a következő tafonómiai jegyeket vizsgálta: megtartási állapot, az egykori élőlények pusztulására utaló jelek, szállítódás, koptatódás nyomai az elpusztult élőlények maradványain, bioerózió, bekérgezés.</w:t>
      </w:r>
      <w:r>
        <w:rPr>
          <w:color w:val="000000"/>
          <w:sz w:val="24"/>
          <w:szCs w:val="24"/>
        </w:rPr>
        <w:br/>
        <w:t xml:space="preserve">Ma1 szinttől felfelé haladva a Ma3 szintig csökken a bioerózió mértéke, jelentősebb a vas-mangán bekérgezés aránya. A legfelső szintben bioturbációs nyom nem található. Jelentős mértékű lehetett az áthalmozódás, erre utal az algák okozta bioeróziós nyomok gyakorisága. A hasonlóság nagy a Ma1 és Ma2 szint között. Jelentős különbséget a Ma3 szint mutat tafonómiai szempontból. Ez valószínűleg a betemetődés utáni változásoknak köszönhető.</w:t>
      </w:r>
      <w:r>
        <w:rPr>
          <w:color w:val="000000"/>
          <w:sz w:val="24"/>
          <w:szCs w:val="24"/>
        </w:rPr>
        <w:br/>
        <w:t xml:space="preserve">A molluszkás agyag felső szintjére (hármas szint) limonitos képződmények települnek és az onnan leszivárgó pórusvizek, károsan befolyásolták k az egykori élőlények maradványainak megtartási állapotát. A régebbi elképzelésekkel ellentétben (Báldi, 1966) a molluszkás agyag sekélyebb tengeri körülmények között rakódhatott le, a vízmélység nem lehetett nagyobb 100 m-nél.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441834">
    <w:multiLevelType w:val="hybridMultilevel"/>
    <w:lvl w:ilvl="0" w:tplc="42135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441834">
    <w:abstractNumId w:val="244418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0771383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