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HAVRIL TÍMEA</w:t>
            </w:r>
          </w:p>
          <w:p w:rsidR="00C275A3" w:rsidRDefault="00A96AEC" w:rsidP="00C275A3">
            <w:pPr>
              <w:pStyle w:val="Hallgatokepzes"/>
            </w:pPr>
            <w:r>
              <w:t>Geológus</w:t>
            </w:r>
            <w:r>
              <w:br/>
            </w:r>
            <w:r w:rsidR="00E77B23">
              <w:t>MSc, 3.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TÓTH ÁDÁM</w:t>
            </w:r>
          </w:p>
          <w:p w:rsidR="00DB4822" w:rsidRDefault="00C275A3" w:rsidP="004D7940">
            <w:pPr>
              <w:pStyle w:val="Hallgatokepzes"/>
            </w:pPr>
            <w:r>
              <w:t>Geofizikus</w:t>
            </w:r>
            <w:r w:rsidR="00A96AEC">
              <w:br/>
              <w:t>MSc, 1. félév</w:t>
            </w:r>
          </w:p>
          <w:p w:rsidR="00DB4822" w:rsidRDefault="00DB4822" w:rsidP="004D7940">
            <w:pPr>
              <w:pStyle w:val="Hallgatointezmeny-kar"/>
            </w:pPr>
            <w:r>
              <w:t>Eötvös Loránd Tudományegyetem</w:t>
            </w:r>
          </w:p>
          <w:p w:rsidR="00C265CE" w:rsidRPr="009E5FF1" w:rsidRDefault="00DB4822" w:rsidP="004D7940">
            <w:pPr>
              <w:pStyle w:val="Hallgatointezmeny-kar"/>
              <w:rPr>
                <w:b/>
                <w:caps/>
              </w:rPr>
            </w:pPr>
            <w:r>
              <w:t>Természettudományi Kar</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Mádlné Dr. Szőnyi Judit</w:t>
            </w:r>
          </w:p>
          <w:p w:rsidR="00DB4822" w:rsidRDefault="00DB4822" w:rsidP="00E11062">
            <w:pPr>
              <w:pStyle w:val="Konzulensek"/>
            </w:pPr>
            <w:r w:rsidRPr="00DB4822">
              <w:t>egyetemi docens,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Tihanyi maar-tavak - kapcsolatban a felszín alatt?</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Munkánk során a Tihanyi-félsziget komplex hidrogeológiájának egy szeletét, az időszakosan vízzel borított Rátai-csáva és a Külső-tó közötti esetleges hidraulikai kapcsolatot vizsgáljuk. A tavak a térségben lezajlott freatomagmás vulkanizmus eredményeképp létrejött maar szerkezetekben foglalnak helyet (Németh et al., 2001). Utánpótlódásukat eddig csapadékból feltételezték, de Winter (1976 etc.) tanulmányai nyomán az ELTE Hidrogeológia és Geotermia Munkacsoportjában 2010-ben indult kutatás alapján felszín alatti kapcsolatuk nem zárható ki. Dolgozatunk célja tehát két kiválasztott tó: a Rátai-csáva és a Külső-tó felszín alatti vízáramlási képbe helyezett hidraulikájának megértése. Továbbá magyarázatot szeretnénk találni a Rátai-Csáva időszakos vízborítottságára, annak jellegére és hátterére.</w:t>
      </w:r>
    </w:p>
    <w:p>
      <w:pPr>
        <w:pBdr/>
        <w:spacing w:before="240" w:after="240" w:line="240" w:lineRule="auto"/>
        <w:ind w:left="0" w:right="0"/>
        <w:jc w:val="left"/>
      </w:pPr>
      <w:r>
        <w:rPr>
          <w:color w:val="000000"/>
          <w:sz w:val="24"/>
          <w:szCs w:val="24"/>
        </w:rPr>
        <w:t xml:space="preserve">Munkánk során archív adatfeldolgozást, a területen létesített sekélyfúrások mintáiból szemcseeloszlás vizsgálatokat, a kiképzett ideiglenes potenciométerekben vízszint és vízkémiai észleléseket végeztünk. Ezekből az adatokból hidraulikai számításokat, vízszintváltozásokra vonatkozó elemzéseket és vízkémiai értékelést készítettünk. A rádió-magnetotellurikus (RMT) méréseket a hidrosztratigráfiai viszonyok tisztázására használtuk. A két tó közötti kapcsolatot 2D numerikus áramkép szimulációval is értékeltük.</w:t>
      </w:r>
      <w:r>
        <w:rPr>
          <w:color w:val="000000"/>
          <w:sz w:val="24"/>
          <w:szCs w:val="24"/>
        </w:rPr>
        <w:br/>
        <w:t xml:space="preserve">A dolgozatban feltett kérdés megválaszolása a tavak vízmérlege és ökológiája szempontjából egyárant lényeges, és befolyásolja természetvédelmi kezelésüket. Vizsgálataink további jelentőségét a maar-területen végzett hidrogeológiai kutatás újszerűsége adja. Mindezen túl a felszíni és felszínalatti vizek kapcsolatának elemzése napjaink égető feladata: a sekély tavak, vizes élőhelyek védelme a biodiverzitás megőrzése miatt kiemelt jelentőségű és az EU Vízkeretirányelv megvalósítása során is jelentős figyelmet kap.</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857340">
    <w:multiLevelType w:val="hybridMultilevel"/>
    <w:lvl w:ilvl="0" w:tplc="644722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857340">
    <w:abstractNumId w:val="508573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4369375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