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VANICSEK KATALIN</w:t>
            </w:r>
          </w:p>
          <w:p w:rsidR="00C275A3" w:rsidRDefault="00A96AEC" w:rsidP="00C275A3">
            <w:pPr>
              <w:pStyle w:val="Hallgatokepzes"/>
            </w:pPr>
            <w:r>
              <w:t>Geológus MSc</w:t>
            </w:r>
            <w:r>
              <w:br/>
            </w:r>
            <w:r w:rsidR="00E77B23">
              <w:t>MSc, 1.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Szakmány György</w:t>
            </w:r>
          </w:p>
          <w:p w:rsidR="00DB4822" w:rsidRDefault="00DB4822" w:rsidP="00E11062">
            <w:pPr>
              <w:pStyle w:val="Konzulensek"/>
            </w:pPr>
            <w:r w:rsidRPr="00DB4822">
              <w:t>egyetemi docens,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Adalékok Gorzsa késő neolit tell település kerámiáinak gyártástechnológiájához</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Gorzsa, Tisza kultúrába tartozó késő neolit (5000-4500 kr.e.) tell településről származó kerámiákat, paticsokat és a környékről sekélyfúrással gyűjtött agyagos üledékekből készített kiégetett próbatesteket petrográfiai módszerekkel vizsgáltam és hasonlítottam össze egymással. Célom az volt, hogy meghatározzam a gorzsai kerámiák nyersanyagának összetételét és készítési technológiáját, különös tekintettel az esetleges agyagkeverésre és a kerámiák soványításának módjára. A lelőhely közvetlen közelében előforduló agyagos üledékek vizsgálatával, arra kerestem a választ, hogy azok szolgálhattak-e a kerámiák nyersanyagául.</w:t>
      </w:r>
    </w:p>
    <w:p>
      <w:pPr>
        <w:pBdr/>
        <w:spacing w:before="240" w:after="240" w:line="240" w:lineRule="auto"/>
        <w:ind w:left="0" w:right="0"/>
        <w:jc w:val="left"/>
      </w:pPr>
      <w:r>
        <w:rPr>
          <w:color w:val="000000"/>
          <w:sz w:val="24"/>
          <w:szCs w:val="24"/>
        </w:rPr>
        <w:t xml:space="preserve">A gorzsai kerámiák finomszemcsések, általában jelentős mennyiségű (20-40%) törmelékes elegyrészeket (kvarc, csillám, földpát, nehézásványok) tartalmaznak. Soványításukra agyagos kőzettörmeléket (ARF) és törtkerámiát (grog) használtak. A törtkerámiák és agyagos kőzettörmelékek egymástól való elkülönítése azonban problémás, mert ezek vékonycsiszolatban egymáshoz nagyon hasonlóak. Ezek tisztázására kísérletsorozatot végeztem, melyben agyagot soványítottam változó mennyiségű törtkerámiával és kiszárított agyagos kőzettörmelékkel, majd a kiégetett próbatestek vékonycsiszolatait petrográfiai mikroszkóppal vizsgáltam. A kísérletek eredménye alapján kiderült,, hogy egy törmeléket csak akkor határozhatunk teljes biztonsággal grognak, ha utalást látunk arra, hogy azt már korábban is formázták és kiégették (pl. tűzfoltosak, erősen irányított szövetűek). Ez alapján a grog és az ARF elkülönítése nem minden esetben lehetséges egyértelműen.</w:t>
      </w:r>
    </w:p>
    <w:p>
      <w:pPr>
        <w:pBdr/>
        <w:spacing w:before="240" w:after="240" w:line="240" w:lineRule="auto"/>
        <w:ind w:left="0" w:right="0"/>
        <w:jc w:val="left"/>
      </w:pPr>
      <w:r>
        <w:rPr>
          <w:color w:val="000000"/>
          <w:sz w:val="24"/>
          <w:szCs w:val="24"/>
        </w:rPr>
        <w:t xml:space="preserve">A gorzsai kerámiák és a lelőhely környékéről gyűjtött agyagos üledékek összetétele hasonló, de a törmelékes elegyrészek mennyiségében különbség volt tapasztalható. Ez a gyártás során történő agyagkeverésre is utalhat. Ennek igazolására vagy cáfolására kövér és sovány agyagot változatos arányban kevertem. Az így előállított próbatestek vizsgálata azt mutatja, hogy az anyagkeverést csak olyan esetekben lehetett egyértelműen megfigyelni, ha az egyik típusú agyagot jóval nagyobb vagy kisebb mértékben adtuk hozzá a másikhoz, illetve a két agyagot nem kevertem el egymással alaposan.</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80618">
    <w:multiLevelType w:val="hybridMultilevel"/>
    <w:lvl w:ilvl="0" w:tplc="13071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80618">
    <w:abstractNumId w:val="927806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61465868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