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PETŐ MARIETTA</w:t>
            </w:r>
          </w:p>
          <w:p w:rsidR="00C275A3" w:rsidRDefault="00A96AEC" w:rsidP="00C275A3">
            <w:pPr>
              <w:pStyle w:val="Hallgatokepzes"/>
            </w:pPr>
            <w:r>
              <w:t>Hidrogeológus-mérnöki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Miskolci Egyetem</w:t>
            </w:r>
            <w:r w:rsidR="00C275A3">
              <w:br/>
            </w:r>
            <w:r w:rsidR="00DB4822">
              <w:t>Műszaki Földtudományi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Lénárt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ME MFK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Miskolci Egyetem 1/a számú termálkút fúrási rétegsorának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Miskolci Egyetemen, 2011 őszén melléfúrásos technológiával új kút létesítésébe kezdtek a már meglévő 1-es jelű termálkút mellé, az Egyetemi Körcsarnok mögötti területen. A létesítendő 1/a számú kút fúrásának célja alapvetően az egyetemi kollégiumok meleg vízzel történő ellátása volt.</w:t>
      </w:r>
      <w:r>
        <w:rPr>
          <w:color w:val="000000"/>
          <w:sz w:val="24"/>
          <w:szCs w:val="24"/>
        </w:rPr>
        <w:br/>
        <w:t xml:space="preserve">A területen a korábbi kutatások és az 1. számú kút ismeretében már feltételeztek egy meleg vizű karsztos tárolót. A Bükk-hegység döntő részben hideg karsztvizet tartalmaz, de a karsztos kőzetek kapcsolatban állnak törmelékes, és eltemetett karsztos kőzetekkel, így egy egységes hideg-meleg karsztrendszerről beszélhetünk (Lénárt, 2006). Ez a kapcsolatrendszer tette lehetővé azt, hogy az egyetem területén immár a 2. számú kút megépítésére is sor került.</w:t>
      </w:r>
      <w:r>
        <w:rPr>
          <w:color w:val="000000"/>
          <w:sz w:val="24"/>
          <w:szCs w:val="24"/>
        </w:rPr>
        <w:br/>
        <w:t xml:space="preserve">A TDK dolgozatom megírásához szükséges információk megszerzését, már a kút építésének kezdetekor megkezdtem, és az mélyítés során folyamatosan gyűjtöttem.</w:t>
      </w:r>
      <w:r>
        <w:rPr>
          <w:color w:val="000000"/>
          <w:sz w:val="24"/>
          <w:szCs w:val="24"/>
        </w:rPr>
        <w:br/>
        <w:t xml:space="preserve">A kút kiképzése során 5 méterenként történt a fúrási magminta megvétele, és mintavételezés után rögtön saját részre is gyűjtöttem a mintákból. A fúrás végeztével 61 minta állt a rendelkezésemre. A furadékmintákat először makroszkóposan vizsgáltam meg, az eddigi tanulmányaim alapján megpróbáltam minden egyes mintát jellemezni szín, alkotók, állag, szemcseméret alapján. Minden egyes mintából eltávolítottam a kimosható alkotókat, szennyezéseket (fúróiszap, agyag, stb.), majd szárítás után csak az agyagásványoknál nagyobb alkotók maradtak vissza.</w:t>
      </w:r>
      <w:r>
        <w:rPr>
          <w:color w:val="000000"/>
          <w:sz w:val="24"/>
          <w:szCs w:val="24"/>
        </w:rPr>
        <w:br/>
        <w:t xml:space="preserve">A makroszkópos vizsgálatot egy kémiai vizsgálat követte. A legfontosabb, amit szerettem volna megvizsgálni, a mintákban található kalcium-karbonát tartalom, ezt a Scheibler-féle kalciméterrel határoztam meg. A mésztartalom alakulásából képet lehet kapni a fúrási rétegsorról, és ezt kombinálva az előzetes makroszkópos vizsgálattal valamint a geofizikai vizsgálatokkal már ebben a szakaszban lehet pontosítani a szelvény leírását.</w:t>
      </w:r>
      <w:r>
        <w:rPr>
          <w:color w:val="000000"/>
          <w:sz w:val="24"/>
          <w:szCs w:val="24"/>
        </w:rPr>
        <w:br/>
        <w:t xml:space="preserve">A továbbiakban egy mikroszkópos vizsgálat történt, mellyel a rétegsor egyes részeiben szerettem volna a főbb alkotókat meghatározni.</w:t>
      </w:r>
      <w:r>
        <w:rPr>
          <w:color w:val="000000"/>
          <w:sz w:val="24"/>
          <w:szCs w:val="24"/>
        </w:rPr>
        <w:br/>
        <w:t xml:space="preserve">A TDK dolgozatom célja az volt, hogy a már kész kút vízföldtani naplójában leírt rétegsort részletesebben megvizsgáljam és azt az eredményeimmel pontosítani tudjam.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508494">
    <w:multiLevelType w:val="hybridMultilevel"/>
    <w:lvl w:ilvl="0" w:tplc="4812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508494">
    <w:abstractNumId w:val="645084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128516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