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SZÁRNYA GÁBOR</w:t>
            </w:r>
          </w:p>
          <w:p w:rsidR="00C275A3" w:rsidRDefault="00A96AEC" w:rsidP="00C275A3">
            <w:pPr>
              <w:pStyle w:val="Hallgatokepzes"/>
            </w:pPr>
            <w:r>
              <w:t>Geokörnyezetmérnök</w:t>
            </w:r>
            <w:r>
              <w:br/>
            </w:r>
            <w:r w:rsidR="00E77B23">
              <w:t>BSc, 7. félév</w:t>
            </w:r>
          </w:p>
          <w:p w:rsidR="00C265CE" w:rsidRPr="009E5FF1" w:rsidRDefault="00E77B23" w:rsidP="00C275A3">
            <w:pPr>
              <w:pStyle w:val="Hallgatokepzes"/>
              <w:rPr>
                <w:b/>
                <w:caps/>
              </w:rPr>
            </w:pPr>
            <w:r>
              <w:t>Miskolci Egyetem</w:t>
            </w:r>
            <w:r w:rsidR="00C275A3">
              <w:br/>
            </w:r>
            <w:r w:rsidR="00DB4822">
              <w:t>Műszaki Földtudományi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Témavezetők:</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Dr. Szűcs Péter</w:t>
            </w:r>
          </w:p>
          <w:p w:rsidR="00DB4822" w:rsidRDefault="00DB4822" w:rsidP="00E11062">
            <w:pPr>
              <w:pStyle w:val="Konzulensek"/>
            </w:pPr>
            <w:r w:rsidRPr="00DB4822">
              <w:t>egyetemi tanár, ME MFK</w:t>
            </w:r>
          </w:p>
        </w:tc>
      </w:tr>
      <w:tr w:rsidR="00DB4822" w:rsidTr="00DB4822">
        <w:tc>
          <w:tcPr>
            <w:tcW w:w="9854" w:type="dxa"/>
          </w:tcPr>
          <w:p w:rsidR="00DB4822" w:rsidRPr="00DB4822" w:rsidRDefault="00DB4822" w:rsidP="004D7940">
            <w:pPr>
              <w:pStyle w:val="Konzulensek"/>
            </w:pPr>
            <w:r w:rsidRPr="00DB4822">
              <w:t>Debnár Zsuzsanna</w:t>
            </w:r>
          </w:p>
          <w:p w:rsidR="00DB4822" w:rsidRDefault="00DB4822" w:rsidP="00E11062">
            <w:pPr>
              <w:pStyle w:val="Konzulensek"/>
            </w:pPr>
            <w:r w:rsidRPr="00DB4822">
              <w:t>geológus,  Nemzeti Környezetügyi Intézet Észak-magyarországi kirendeltsége</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Észak-Magyarország ásványvizei</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Magyarország napjainkra Európa egyik legnagyobb ásványvíz termelő és fogyasztó országává fejlődött. Míg az 1990-es évek elején az egy főre jutó éves fogyasztás alig érte el a 4 litert, addig a 2010. évre az évenkénti átlagfogyasztás 110 litert is meghaladta és ez alatt a 20 év alatt a fogyasztás végig erősen növekvő tendenciát mutatott. Ezt a megnövekedett igényt hívatott kiszolgálni az a közel 220 kút és forrás, mely az Országos Gyógyhelyi és Gyógyfürdőügyi Főigazgatóság (OGYFI) vizsgálatai alapján megfeleltek a hatóságilag meghatározott vízminőségi paramétereknek.</w:t>
      </w:r>
    </w:p>
    <w:p>
      <w:pPr>
        <w:pBdr/>
        <w:spacing w:before="240" w:after="240" w:line="240" w:lineRule="auto"/>
        <w:ind w:left="0" w:right="0"/>
        <w:jc w:val="left"/>
      </w:pPr>
      <w:r>
        <w:rPr>
          <w:color w:val="000000"/>
          <w:sz w:val="24"/>
          <w:szCs w:val="24"/>
        </w:rPr>
        <w:t xml:space="preserve">A 2004. évi Európai Uniós csatlakozásunk után az ásványvízzé történő minősítés követelményei kevésbé szigorúak lettek, melynek következtében több, korábban ivóvíz minőségű víz is ásványvíz minősítést szerzett. Ennek ellenére hazánk ásványvizeinek minősége továbbra is kitűnő az európai piacokon.</w:t>
      </w:r>
    </w:p>
    <w:p>
      <w:pPr>
        <w:pBdr/>
        <w:spacing w:before="240" w:after="240" w:line="240" w:lineRule="auto"/>
        <w:ind w:left="0" w:right="0"/>
        <w:jc w:val="left"/>
      </w:pPr>
      <w:r>
        <w:rPr>
          <w:color w:val="000000"/>
          <w:sz w:val="24"/>
          <w:szCs w:val="24"/>
        </w:rPr>
        <w:t xml:space="preserve">Dolgozatomhoz a Nemzeti Környezetügyi Intézet Észak-magyarországi (É-NeKI) Kirendeltségén található dokumentumokat és az OSAP (Országos Statisztikai Adatgyűjtési Program) adatszolgáltatást használtam fel, melyekből átfogó képet kaphattam azon kutak tulajdonságairól, melyek ásványvíz minősítéssel rendelkeznek a fent említett intézet működési területén. Ezen kutak adatainak tanulmányozása során trendeket, változásokat figyeltem meg Magyarország és az északi régió ásványvíz termelésében, felhasználásában. Fenntarthatósággal kapcsolatos problémákat kerestem, melyek a későbbiekben akadályozhatják az adott vízkivételi hely ásványvíz termelésének sikerességét. Továbbá olyan lehetőségeket próbáltam keresni melyek versenyképesebbé tehetik az ásványvíz termelését, illetve az eddigiekben nem, vagy csak részben felhasznált energiamennyiségekre végeztem becslést, melyek hasznosítása jelenleg nem gazdaságos, de a későbbiekben lokálisan nem elhanyagolható mennyiségűek lehetnek a növekvő energia árak fényében.</w:t>
      </w:r>
    </w:p>
    <w:p>
      <w:pPr>
        <w:pBdr/>
        <w:spacing w:before="240" w:after="240" w:line="240" w:lineRule="auto"/>
        <w:ind w:left="0" w:right="0"/>
        <w:jc w:val="left"/>
      </w:pPr>
      <w:r>
        <w:rPr>
          <w:color w:val="000000"/>
          <w:sz w:val="24"/>
          <w:szCs w:val="24"/>
        </w:rPr>
        <w:t xml:space="preserve">A működő ásványvizes kutakra jellemző problémák lehetnek:</w:t>
      </w:r>
    </w:p>
    <w:p>
      <w:pPr>
        <w:pStyle w:val="ListParagraphPHPDOCX"/>
        <w:numPr>
          <w:ilvl w:val="0"/>
          <w:numId w:val="22650322"/>
        </w:numPr>
        <w:spacing w:before="0" w:after="0" w:line="240" w:lineRule="auto"/>
        <w:contextualSpacing/>
        <w:jc w:val="left"/>
        <w:rPr>
          <w:sz w:val="24"/>
          <w:szCs w:val="24"/>
        </w:rPr>
      </w:pPr>
      <w:r>
        <w:rPr>
          <w:color w:val="000000"/>
          <w:sz w:val="24"/>
          <w:szCs w:val="24"/>
        </w:rPr>
        <w:t xml:space="preserve">csökkennek mind a nyugalmi mind az üzemi vízszintek, melyek az utánpótlódás korlátozottságára és a vízadó túltermelésére is utalhatnak,</w:t>
      </w:r>
    </w:p>
    <w:p>
      <w:pPr>
        <w:pStyle w:val="ListParagraphPHPDOCX"/>
        <w:numPr>
          <w:ilvl w:val="0"/>
          <w:numId w:val="22650322"/>
        </w:numPr>
        <w:spacing w:before="0" w:after="0" w:line="240" w:lineRule="auto"/>
        <w:contextualSpacing/>
        <w:jc w:val="left"/>
        <w:rPr>
          <w:sz w:val="24"/>
          <w:szCs w:val="24"/>
        </w:rPr>
      </w:pPr>
      <w:r>
        <w:rPr>
          <w:color w:val="000000"/>
          <w:sz w:val="24"/>
          <w:szCs w:val="24"/>
        </w:rPr>
        <w:t xml:space="preserve">csökkennek a vízkémiai komponensek koncentrációi, mely a lecsökkent tartózkodási időre és szintén a túltermelés jelei lehetnek.</w:t>
      </w:r>
    </w:p>
    <w:p>
      <w:pPr>
        <w:pBdr/>
        <w:spacing w:before="240" w:after="240" w:line="240" w:lineRule="auto"/>
        <w:ind w:left="0" w:right="0"/>
        <w:jc w:val="left"/>
      </w:pPr>
      <w:r>
        <w:rPr>
          <w:color w:val="000000"/>
          <w:sz w:val="24"/>
          <w:szCs w:val="24"/>
        </w:rPr>
        <w:t xml:space="preserve">Az összegyűjtött adatok segítségével pontosabb képet kaphatunk bizonyos ásványvizeket érintő kérdésre. Fontosságukhoz kétség sem férhet, amennyiben a jelenlegi helyzet fenntarthatóságát szem előtt tartjuk.</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650322">
    <w:multiLevelType w:val="hybridMultilevel"/>
    <w:lvl w:ilvl="0" w:tplc="549915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650322">
    <w:abstractNumId w:val="226503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69857598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