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GRÓSZ TÍMEA</w:t>
            </w:r>
          </w:p>
          <w:p w:rsidR="00C275A3" w:rsidRDefault="00A96AEC" w:rsidP="00C275A3">
            <w:pPr>
              <w:pStyle w:val="Hallgatokepzes"/>
            </w:pPr>
            <w:r>
              <w:t>Fizikus MSc</w:t>
            </w:r>
            <w:r>
              <w:br/>
            </w:r>
            <w:r w:rsidR="00E77B23">
              <w:t>MSc, 10.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Kovács Attika Pál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Fotonikus szálból kilépő impulzus vizsgálata Fourier-transzformációs spektrális interferometriával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fotonikus kristályszálak ígéretes jelöltek az ultrarövid lézerimpulzusok diszperziómentes és mobilis továbbítására. A szál belső szerkezetének fejlesztéséhez szükséges, hogy rendelkezzünk nagypontosságú diszperzió mérési eljárással. A szál alkalmazhatóságának tekintetében további fontos szempont a szálból kilépő impulzus idő- és térbeli alakjának ismerete. E célok eléréséhez a spektrális interferometria egy megfelelő módszernek tűnik.</w:t>
      </w:r>
      <w:r>
        <w:rPr>
          <w:color w:val="000000"/>
          <w:sz w:val="24"/>
          <w:szCs w:val="24"/>
        </w:rPr>
        <w:br/>
        <w:t xml:space="preserve">Jelen munkámban megvizsgáltam az üvegek diszperziójának mérésére széles körben elterjedt Fourier-transzformációs kiértékelési eljárás alkalmazhatóságát a fotonikus szálak esetében. Megállapítottam, hogy ez a módszer a korábbi dolgozatomban vizsgált módszerekhez képest nagyobb pontosságot ad a diszperziós együtthatókra és automatizálható, valamint képes az említett szálak spektrumában fellépő rezonanciák okozta fázisugrások detektálására is.</w:t>
      </w:r>
      <w:r>
        <w:rPr>
          <w:color w:val="000000"/>
          <w:sz w:val="24"/>
          <w:szCs w:val="24"/>
        </w:rPr>
        <w:br/>
        <w:t xml:space="preserve">Kimutattam, hogy a szálból kilépő impulzus időbeli alakjának meghatározása pontatlanná válhat, ha a hagyományos Fourier-transzformációs eljárást alkalmazzuk és magasabb rendű módusok is jelen vannak. Egy nemrég kidolgozott, szintén a Fourier-transzformáción alapuló eljárással azonban az említett esetben sikerült megmérnem a vizsgált fotonikus szálon keresztülhaladt, majd lefókuszált alapmódushoz tartozó impulzus idő- és térbeli alakját a fókuszpont környezetében.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[1] C. Dorrer, N. Belabas, J-P. Likforman, M. Joffre 2000. Spectral resolution and sampling issues in Fourier-transform spectral interferometry, J. Opt. Soc. Am. B 17, 1795</w:t>
      </w:r>
      <w:r>
        <w:rPr>
          <w:color w:val="000000"/>
          <w:sz w:val="24"/>
          <w:szCs w:val="24"/>
        </w:rPr>
        <w:br/>
        <w:t xml:space="preserve">[2] A. P. Kovács, T. Grósz, M. Kiss 2011. Measurement of Higher Order Dispersion in a Photonic Bandgap Fiber Using Spectral Interferometry, AIP Conference Proceedings 1462, 112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714082">
    <w:multiLevelType w:val="hybridMultilevel"/>
    <w:lvl w:ilvl="0" w:tplc="67935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714082">
    <w:abstractNumId w:val="127140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5583366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