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gif" ContentType="image/gi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KUNOS ÁDÁM</w:t>
            </w:r>
          </w:p>
          <w:p w:rsidR="00C275A3" w:rsidRDefault="00A96AEC" w:rsidP="00C275A3">
            <w:pPr>
              <w:pStyle w:val="Hallgatokepzes"/>
            </w:pPr>
            <w:r>
              <w:t>Matematikus MSc</w:t>
            </w:r>
            <w:r>
              <w:br/>
            </w:r>
            <w:r w:rsidR="00E77B23">
              <w:t>MSc, 1.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Maróti Miklós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Definability in the embeddability ordering of finite directed graphs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 J. Ježek és R. McKenzie 2009-2010-ben 4 cikkből álló cikksorozatot publikáltak ([1], [2], [3], [4]) melyben (többek között) véges, adott típusú matematikai struktúrák izomorfiatípusainak beágyazás-részbenrendezéseiben vizsgálták az elsőrendű definiálhatóságot, ezen részbenrendezések automorfizmusait határozták meg. Foglalkoztak félhálókkal [1], részbenrendezett halmazokkal [2], disztributív hálókkal [3] és hálókkal [4].</w:t>
      </w:r>
      <w:r>
        <w:rPr>
          <w:color w:val="000000"/>
          <w:sz w:val="24"/>
          <w:szCs w:val="24"/>
        </w:rPr>
        <w:br/>
        <w:t xml:space="preserve">Dolgozatomban az irányított gráfok esetét vizsgálom és bizonyítok hasonló „ízű” állításokat, mint amik [1]-[4]-ben találhatóak. Míg az említett cikkekben beágyazhatóság alatt (feszített) részstruktúrával való izomorfiát értenek, én akkor mondom a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8000"/>
            <wp:docPr id="83207896" name="name150cf508f12676" descr="imgtmp_18976_hu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8976_hu_1.gif"/>
                    <pic:cNvPicPr/>
                  </pic:nvPicPr>
                  <pic:blipFill>
                    <a:blip r:embed="rId150cf508f126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irányított gráfot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72800" cy="144000"/>
            <wp:docPr id="60236984" name="name150cf508f12a13" descr="imgtmp_18976_hu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8976_hu_2.gif"/>
                    <pic:cNvPicPr/>
                  </pic:nvPicPr>
                  <pic:blipFill>
                    <a:blip r:embed="rId150cf508f129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4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-be ágyazhatónak, ha létezik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691200" cy="172800"/>
            <wp:docPr id="7177359" name="name150cf508f12cd4" descr="imgtmp_18976_hu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8976_hu_3.gif"/>
                    <pic:cNvPicPr/>
                  </pic:nvPicPr>
                  <pic:blipFill>
                    <a:blip r:embed="rId150cf508f12c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200" cy="172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injektív gráfhomomorfizmus. Bebizonyítom, hogy a véges irányított gráfok izomorfiatípusainak beágyazás-részbenrendezésében a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576000" cy="208800"/>
            <wp:docPr id="12122312" name="name150cf508f12f79" descr="imgtmp_18976_hu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8976_hu_4.gif"/>
                    <pic:cNvPicPr/>
                  </pic:nvPicPr>
                  <pic:blipFill>
                    <a:blip r:embed="rId150cf508f12f3d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208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 alakú halmazok tetszőleges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8000"/>
            <wp:docPr id="64553315" name="name150cf508f13226" descr="imgtmp_18976_hu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8976_hu_5.gif"/>
                    <pic:cNvPicPr/>
                  </pic:nvPicPr>
                  <pic:blipFill>
                    <a:blip r:embed="rId150cf508f131ea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 véges irányított gráf esetén definiálhatóak elsőrendű formulákkal, ahol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230400" cy="144000"/>
            <wp:docPr id="40611244" name="name150cf508f134c7" descr="imgtmp_18976_hu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8976_hu_6.gif"/>
                    <pic:cNvPicPr/>
                  </pic:nvPicPr>
                  <pic:blipFill>
                    <a:blip r:embed="rId150cf508f1348c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0" cy="14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 a </w:t>
      </w:r>
      <w:r>
        <w:rPr>
          <w:color w:val="000000"/>
          <w:position w:val="-3"/>
          <w:sz w:val="24"/>
          <w:szCs w:val="24"/>
        </w:rPr>
        <w:drawing>
          <wp:inline distT="0" distB="0" distL="0" distR="0">
            <wp:extent cx="115200" cy="108000"/>
            <wp:docPr id="92122637" name="name150cf508f13776" descr="imgtmp_18976_hu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mp_18976_hu_7.gif"/>
                    <pic:cNvPicPr/>
                  </pic:nvPicPr>
                  <pic:blipFill>
                    <a:blip r:embed="rId150cf508f137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00" cy="1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  transzponáltját jelenti. Megmutatom továbbá, hogy a véges irányított gráfok izomorfiatípusainak beágyazás-részbenrendezésének pontosan két automorfizmusa van, a triviális, és amelyik minden gráfhoz a transzponáltját rendeli.</w:t>
      </w:r>
    </w:p>
    <w:p>
      <w:pPr>
        <w:pBdr/>
        <w:spacing w:before="240" w:after="240" w:line="240" w:lineRule="auto"/>
        <w:ind w:left="0" w:right="0"/>
        <w:jc w:val="left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br/>
        <w:t xml:space="preserve">[1] J. Ježek and R. McKenzie, Definability in substructure orderings, I: finite semilattices., Algebra Universalis, 2009, 61, 59-75.</w:t>
      </w:r>
      <w:r>
        <w:rPr>
          <w:color w:val="000000"/>
          <w:sz w:val="24"/>
          <w:szCs w:val="24"/>
        </w:rPr>
        <w:br/>
        <w:t xml:space="preserve">[2] J. Ježek and R. McKenzie, Definability in substructure orderings, II: finite ordered sets., Order, 2010, 27, 115-145.</w:t>
      </w:r>
      <w:r>
        <w:rPr>
          <w:color w:val="000000"/>
          <w:sz w:val="24"/>
          <w:szCs w:val="24"/>
        </w:rPr>
        <w:br/>
        <w:t xml:space="preserve">[3] J. Ježek and R. McKenzie, Definability in substructure orderings, III: finite distributive lattices., Algebra Universalis, 2009, 61, 283-300.</w:t>
      </w:r>
      <w:r>
        <w:rPr>
          <w:color w:val="000000"/>
          <w:sz w:val="24"/>
          <w:szCs w:val="24"/>
        </w:rPr>
        <w:br/>
        <w:t xml:space="preserve">[4] J. Ježek and R. McKenzie, Definability in substructure orderings, IV: finite lattices., Algebra Universalis, 2009, 61, 301-312.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557343">
    <w:multiLevelType w:val="hybridMultilevel"/>
    <w:lvl w:ilvl="0" w:tplc="28079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557343">
    <w:abstractNumId w:val="595573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52809442" Type="http://schemas.openxmlformats.org/officeDocument/2006/relationships/numbering" Target="numbering.xml"/><Relationship Id="rId150cf508f12638" Type="http://schemas.openxmlformats.org/officeDocument/2006/relationships/image" Target="media/imgrId150cf508f12638.gif"/><Relationship Id="rId150cf508f129d7" Type="http://schemas.openxmlformats.org/officeDocument/2006/relationships/image" Target="media/imgrId150cf508f129d7.gif"/><Relationship Id="rId150cf508f12c94" Type="http://schemas.openxmlformats.org/officeDocument/2006/relationships/image" Target="media/imgrId150cf508f12c94.gif"/><Relationship Id="rId150cf508f12f3d" Type="http://schemas.openxmlformats.org/officeDocument/2006/relationships/image" Target="media/imgrId150cf508f12f3d.gif"/><Relationship Id="rId150cf508f131ea" Type="http://schemas.openxmlformats.org/officeDocument/2006/relationships/image" Target="media/imgrId150cf508f131ea.gif"/><Relationship Id="rId150cf508f1348c" Type="http://schemas.openxmlformats.org/officeDocument/2006/relationships/image" Target="media/imgrId150cf508f1348c.gif"/><Relationship Id="rId150cf508f13739" Type="http://schemas.openxmlformats.org/officeDocument/2006/relationships/image" Target="media/imgrId150cf508f13739.gif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