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NEDÉNYI FANNI</w:t>
            </w:r>
          </w:p>
          <w:p w:rsidR="00C275A3" w:rsidRDefault="00A96AEC" w:rsidP="00C275A3">
            <w:pPr>
              <w:pStyle w:val="Hallgatokepzes"/>
            </w:pPr>
            <w:r>
              <w:t>Alkalmazott matematikus MSc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Szűcs Gábor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tanársegéd,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Szekvenciális változásészlelés INAR(p) modellekben általános utódeloszlás esetén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Definiáljuk az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864000" cy="180000"/>
            <wp:docPr id="16705827" name="name150d185ed9ca23" descr="imgtmp_18977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1.gif"/>
                    <pic:cNvPicPr/>
                  </pic:nvPicPr>
                  <pic:blipFill>
                    <a:blip r:embed="rId150d185ed9c9e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8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  p-lépéses egész értékű autoregresszív INAR(p) folyamatot rögzített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403200" cy="136800"/>
            <wp:docPr id="39153662" name="name150d185ed9cddf" descr="imgtmp_18977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2.gif"/>
                    <pic:cNvPicPr/>
                  </pic:nvPicPr>
                  <pic:blipFill>
                    <a:blip r:embed="rId150d185ed9cda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136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, valamint determinisztikus  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497600" cy="151200"/>
            <wp:docPr id="1932202" name="name150d185ed9d096" descr="imgtmp_18977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3.gif"/>
                    <pic:cNvPicPr/>
                  </pic:nvPicPr>
                  <pic:blipFill>
                    <a:blip r:embed="rId150d185ed9d0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kezdeti értékek esetén nem feltétlenül Bernoulli, hanem általános utódeloszlással. Tehát legyen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764800" cy="460800"/>
            <wp:docPr id="57292950" name="name150d185ed9d3c4" descr="imgtmp_18977_hu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4.gif"/>
                    <pic:cNvPicPr/>
                  </pic:nvPicPr>
                  <pic:blipFill>
                    <a:blip r:embed="rId150d185ed9d3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460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ahol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094400" cy="187200"/>
            <wp:docPr id="78629816" name="name150d185ed9d76d" descr="imgtmp_18977_hu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5.gif"/>
                    <pic:cNvPicPr/>
                  </pic:nvPicPr>
                  <pic:blipFill>
                    <a:blip r:embed="rId150d185ed9d7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 független és azonos eloszlású nemnegatív egész értékű változók tetszőleges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518400" cy="144000"/>
            <wp:docPr id="20462587" name="name150d185ed9da64" descr="imgtmp_18977_hu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6.gif"/>
                    <pic:cNvPicPr/>
                  </pic:nvPicPr>
                  <pic:blipFill>
                    <a:blip r:embed="rId150d185ed9da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 és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403200" cy="115200"/>
            <wp:docPr id="39618528" name="name150d185ed9dd0d" descr="imgtmp_18977_hu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7.gif"/>
                    <pic:cNvPicPr/>
                  </pic:nvPicPr>
                  <pic:blipFill>
                    <a:blip r:embed="rId150d185ed9dc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 esetén,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72800" cy="129600"/>
            <wp:docPr id="92067201" name="name150d185ed9dfb4" descr="imgtmp_18977_hu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8.gif"/>
                    <pic:cNvPicPr/>
                  </pic:nvPicPr>
                  <pic:blipFill>
                    <a:blip r:embed="rId150d185ed9df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nemnegatív egész értékű véletlen változó, és ezek a sorozatok mind függetlenek egymástól.</w:t>
      </w:r>
      <w:r>
        <w:rPr>
          <w:color w:val="000000"/>
          <w:sz w:val="24"/>
          <w:szCs w:val="24"/>
        </w:rPr>
        <w:br/>
        <w:t xml:space="preserve">Az INAR(p) folyamatok utódeloszlásának, illetve innovációjának megváltozása zavart jelezhet a modellben, így fontos detektálni. A dolgozat célja azon nullhipotézis tesztelése, hogy az INAR(p) modell nem változik az idők folyamán, tehát tetszőleges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345600" cy="115200"/>
            <wp:docPr id="59783345" name="name150d185ed9e2fa" descr="imgtmp_18977_hu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9.gif"/>
                    <pic:cNvPicPr/>
                  </pic:nvPicPr>
                  <pic:blipFill>
                    <a:blip r:embed="rId150d185ed9e2b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15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esetén a  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036800" cy="187200"/>
            <wp:docPr id="13033178" name="name150d185ed9e5a2" descr="imgtmp_18977_hu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10.gif"/>
                    <pic:cNvPicPr/>
                  </pic:nvPicPr>
                  <pic:blipFill>
                    <a:blip r:embed="rId150d185ed9e5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változók, valamint az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518400" cy="122400"/>
            <wp:docPr id="75266551" name="name150d185ed9e854" descr="imgtmp_18977_hu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7_hu_11.gif"/>
                    <pic:cNvPicPr/>
                  </pic:nvPicPr>
                  <pic:blipFill>
                    <a:blip r:embed="rId150d185ed9e8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122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 változók rendre azonos eloszlásúak. Az alkalmazhatóság szempontjából az is előnyös, ha a megváltozás észlelése on-line módon történik, hiszen az adatok gyűjtése sokszor költséges. Így a dolgozatban szekvenciális próbákat adunk meg a paraméterek megváltozásának észlelésére. A dolgozat alapja az a lineáris regressziós modellek paramétereinek megváltozását detektáló szekvenciális eljárás, melyet Horváth Lajos publikált [1].</w:t>
      </w:r>
      <w:r>
        <w:rPr>
          <w:color w:val="000000"/>
          <w:sz w:val="24"/>
          <w:szCs w:val="24"/>
        </w:rPr>
        <w:br/>
        <w:t xml:space="preserve">A várható értékek tanulóminta alapján végzett feltételes legkisebb négyzetes becslése alapján olyan próbát konstruálunk, mely a várható értékek megváltozását teszteli. Azonban az általános utódeloszlás miatt bekövetkezhet olyan változás, mely során a várható értékek állandóak maradnak. Ezért vezetünk be egy olyan kétdimenziós próbastatisztikára épülő próbát, mely a várható értékek mellett a szórások változását is érzékeli. Mindkét eljárást definiáljuk nyílt, valamint zárt végű esetben is, a szimulációk azt mutatják, hogy a tanulómintához képest nem túl nagy mintaméret esetén a zárt végű próba jobb eredményt ad. A dolgozatban meghatározzuk a négy bevezetett próbastatisztika határeloszlását, és egyszerű alternatív hipotézis mellett azt is megmutatjuk, hogy a próbák konzisztensek.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L. Horváth, L., Husková, M., Kokoszka, P., és Steinebach, J. [2004] Monitoring changes in linear models, Journal of Statistical Planning and Inference 126, 225-251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361805">
    <w:multiLevelType w:val="hybridMultilevel"/>
    <w:lvl w:ilvl="0" w:tplc="1565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361805">
    <w:abstractNumId w:val="293618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81590981" Type="http://schemas.openxmlformats.org/officeDocument/2006/relationships/numbering" Target="numbering.xml"/><Relationship Id="rId150d185ed9c9e5" Type="http://schemas.openxmlformats.org/officeDocument/2006/relationships/image" Target="media/imgrId150d185ed9c9e5.gif"/><Relationship Id="rId150d185ed9cda3" Type="http://schemas.openxmlformats.org/officeDocument/2006/relationships/image" Target="media/imgrId150d185ed9cda3.gif"/><Relationship Id="rId150d185ed9d058" Type="http://schemas.openxmlformats.org/officeDocument/2006/relationships/image" Target="media/imgrId150d185ed9d058.gif"/><Relationship Id="rId150d185ed9d388" Type="http://schemas.openxmlformats.org/officeDocument/2006/relationships/image" Target="media/imgrId150d185ed9d388.gif"/><Relationship Id="rId150d185ed9d730" Type="http://schemas.openxmlformats.org/officeDocument/2006/relationships/image" Target="media/imgrId150d185ed9d730.gif"/><Relationship Id="rId150d185ed9da28" Type="http://schemas.openxmlformats.org/officeDocument/2006/relationships/image" Target="media/imgrId150d185ed9da28.gif"/><Relationship Id="rId150d185ed9dcd1" Type="http://schemas.openxmlformats.org/officeDocument/2006/relationships/image" Target="media/imgrId150d185ed9dcd1.gif"/><Relationship Id="rId150d185ed9df78" Type="http://schemas.openxmlformats.org/officeDocument/2006/relationships/image" Target="media/imgrId150d185ed9df78.gif"/><Relationship Id="rId150d185ed9e2bd" Type="http://schemas.openxmlformats.org/officeDocument/2006/relationships/image" Target="media/imgrId150d185ed9e2bd.gif"/><Relationship Id="rId150d185ed9e566" Type="http://schemas.openxmlformats.org/officeDocument/2006/relationships/image" Target="media/imgrId150d185ed9e566.gif"/><Relationship Id="rId150d185ed9e818" Type="http://schemas.openxmlformats.org/officeDocument/2006/relationships/image" Target="media/imgrId150d185ed9e818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