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TÓTH ORSOLYA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Sipos György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TL és OSL módszerek tesztelése régészetileg pontosan datálható téglamintákon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Kerámiák és téglák kormeghatározása során a termolumineszcencia (TL) széles körben alkalmazott módszer. Ugyanakkor ismert korú mintákon történő tesztelésükre, valamint az egyes mintagyűjtési és méréstechnikai módszerek által kapott korok közötti eltérések vizsgálatára kevés példát találunk a szakirodalomban.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 célja a lumineszcens kormeghatározás pontosítása eltérő mintagyűjtési és méréstechnikai módszerek összehasonlításával. A kísérletek 5 darab Aquincumból származó, régészeti alapokon jól keltezhető római korú téglán történtek. A régészeti datálást az adott téglán található bélyegek, valamint különböző jelölések alapján végezték, mivel ezek a sajátos jegyek egy-egy téglaégető műhely egyedi jelzései és segítségükkel a készítés helye és ideje jól meghatározható.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 során az 5 téglaminta mindegyikét további 6-6 részmintára bontottuk. A mechanikai hatások tesztelése céljából a részmintákat háromféle módszerrel gyűjtöttük. Első körben porítással (A1), ennek egy részét achát mozsárban tovább porítottuk (A2), egy részén hexafluor szilícium savas (H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SiF</w:t>
      </w:r>
      <w:r>
        <w:rPr>
          <w:color w:val="000000"/>
          <w:position w:val="-4"/>
          <w:sz w:val="21"/>
          <w:szCs w:val="21"/>
          <w:vertAlign w:val="subscript"/>
        </w:rPr>
        <w:t xml:space="preserve">6</w:t>
      </w:r>
      <w:r>
        <w:rPr>
          <w:color w:val="000000"/>
          <w:sz w:val="24"/>
          <w:szCs w:val="24"/>
        </w:rPr>
        <w:t xml:space="preserve">) kezelést alkalmaztunk a kvarc frakció vizsgálata céljából (B). Emellett alacsony (C1), illetve magas fordulatszámú (D) fúró segítségével is végeztünk mintagyűjtést, a C1-es minta egy részén pedig szintén további achát mozsaras porítást alkalmaztunk (C2). A TL vizsgálatok során MAAD (hozzáadott dózis) és REG (regenerációs dózis) protokollt alkalmaztunk. A H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SiF</w:t>
      </w:r>
      <w:r>
        <w:rPr>
          <w:color w:val="000000"/>
          <w:position w:val="-4"/>
          <w:sz w:val="21"/>
          <w:szCs w:val="21"/>
          <w:vertAlign w:val="subscript"/>
        </w:rPr>
        <w:t xml:space="preserve">6</w:t>
      </w:r>
      <w:r>
        <w:rPr>
          <w:color w:val="000000"/>
          <w:sz w:val="24"/>
          <w:szCs w:val="24"/>
        </w:rPr>
        <w:t xml:space="preserve"> savval kezelt kvarc mintákon a főként üledékek kormeghatározása során elterjedt OSL méréseket is végeztünk, melyek kapcsán az ún. SAR (egy mintás regenerációs) protokollal dolgoztunk.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Anyagösszetétel vizsgálatok is történtek ICP-MS segítségével, mely során a minták U, Th és K koncentrációjának meghatározása, illetve a dózisteljesítmény kiszámítása volt a cél. A dózisteljesítmény pontosításához a téglák nedvességtartalmának meghatározása régészeti adatok alapján történt.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Kísérleteink alapján elmondható, hogy a mérések során a radioaktív besugárzás és a TL mérések közötti várakozási idő optimálisan 3 hét, illetve a mintát ért mechanikai hatások nagymértékben befolyásolhatják a mért egyenérték dózis adatokat, illetve az OSL mérések jelentősen eltérő korokat eredményeztek. Mindez felhívja a figyelmet a minél kisebb mechanikai hatásokkal járó mintagyűjtés fontosságára. A végeredményül kapott eredmények így jó egyezést mutattak a régészetileg megadott korokkal.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776836">
    <w:multiLevelType w:val="hybridMultilevel"/>
    <w:lvl w:ilvl="0" w:tplc="68872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776836">
    <w:abstractNumId w:val="747768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284107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